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40E06D"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336296">
        <w:rPr>
          <w:rFonts w:eastAsiaTheme="minorEastAsia"/>
          <w:b/>
          <w:i/>
          <w:noProof/>
          <w:sz w:val="28"/>
        </w:rPr>
        <w:t>4418</w:t>
      </w:r>
    </w:p>
    <w:p w14:paraId="7CB45193" w14:textId="4EC4586E"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336296" w:rsidRPr="00336296">
        <w:rPr>
          <w:rFonts w:cs="Arial"/>
          <w:b/>
          <w:bCs/>
          <w:color w:val="0000FF"/>
        </w:rPr>
        <w:t>4165</w:t>
      </w:r>
      <w:r w:rsidR="00336296">
        <w:rPr>
          <w:rFonts w:cs="Arial"/>
          <w:b/>
          <w:bCs/>
          <w:color w:val="0000FF"/>
        </w:rPr>
        <w:t xml:space="preserve">, </w:t>
      </w:r>
      <w:r w:rsidR="00C802BE" w:rsidRPr="00C802BE">
        <w:rPr>
          <w:rFonts w:cs="Arial"/>
          <w:b/>
          <w:bCs/>
          <w:color w:val="0000FF"/>
        </w:rPr>
        <w:t>3522</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4FBEA447"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BC142F">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E741CF9" w:rsidR="001E41F3" w:rsidRPr="00355108" w:rsidRDefault="00E46145" w:rsidP="00547111">
            <w:pPr>
              <w:pStyle w:val="CRCoverPage"/>
              <w:spacing w:after="0"/>
              <w:rPr>
                <w:noProof/>
              </w:rPr>
            </w:pPr>
            <w:r>
              <w:rPr>
                <w:b/>
                <w:noProof/>
                <w:sz w:val="28"/>
              </w:rPr>
              <w:t>6227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5BA95D3" w:rsidR="001E41F3" w:rsidRPr="00355108" w:rsidRDefault="00336296"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008F512"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C802BE">
              <w:rPr>
                <w:noProof/>
              </w:rPr>
              <w:t>4</w:t>
            </w:r>
            <w:r w:rsidRPr="00355108">
              <w:rPr>
                <w:noProof/>
              </w:rPr>
              <w:t>-</w:t>
            </w:r>
            <w:r w:rsidR="00336296">
              <w:rPr>
                <w:noProof/>
              </w:rPr>
              <w:t>11</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2C6F2" w:rsidR="00FF0C29" w:rsidRDefault="00FF0C29" w:rsidP="00A76E7C">
            <w:pPr>
              <w:pStyle w:val="CRCoverPage"/>
              <w:spacing w:after="0"/>
              <w:ind w:left="100"/>
            </w:pPr>
            <w:r>
              <w:t xml:space="preserve">The details of the PCF actions related to </w:t>
            </w:r>
            <w:r w:rsidRPr="003964A6">
              <w:t>data rate limitation</w:t>
            </w:r>
            <w:r>
              <w:t xml:space="preserve"> exposure should be described in one place only and this should be in 23.503 (as it is based on PCF internal logic and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BE10D" w:rsidR="00F94C6A" w:rsidRDefault="00F94C6A" w:rsidP="00A76E7C">
            <w:pPr>
              <w:pStyle w:val="CRCoverPage"/>
              <w:spacing w:after="0"/>
              <w:ind w:left="100"/>
            </w:pPr>
            <w:r>
              <w:t>The details of the PCF action are replaced by a reference to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11B1" w:rsidR="001E41F3" w:rsidRDefault="00A76E7C">
            <w:pPr>
              <w:pStyle w:val="CRCoverPage"/>
              <w:spacing w:after="0"/>
              <w:ind w:left="100"/>
            </w:pPr>
            <w:r>
              <w:t>D</w:t>
            </w:r>
            <w:r w:rsidR="00FF0C29">
              <w:t xml:space="preserve">uplicated </w:t>
            </w:r>
            <w:r>
              <w:t xml:space="preserve">and incomplete </w:t>
            </w:r>
            <w:r w:rsidR="00FF0C29">
              <w:t>description leading to misinterpretations.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879AF" w:rsidR="001E41F3" w:rsidRDefault="008325F0">
            <w:pPr>
              <w:pStyle w:val="CRCoverPage"/>
              <w:spacing w:after="0"/>
              <w:ind w:left="100"/>
              <w:rPr>
                <w:noProof/>
              </w:rPr>
            </w:pPr>
            <w:r>
              <w:t>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87A93C" w:rsidR="001E41F3" w:rsidRDefault="003264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F6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C8DEDB" w:rsidR="001E41F3" w:rsidRDefault="00145D43">
            <w:pPr>
              <w:pStyle w:val="CRCoverPage"/>
              <w:spacing w:after="0"/>
              <w:ind w:left="99"/>
              <w:rPr>
                <w:noProof/>
              </w:rPr>
            </w:pPr>
            <w:r>
              <w:rPr>
                <w:noProof/>
              </w:rPr>
              <w:t>TS</w:t>
            </w:r>
            <w:r w:rsidR="00326440">
              <w:rPr>
                <w:noProof/>
              </w:rPr>
              <w:t xml:space="preserve"> 23.503</w:t>
            </w:r>
            <w:r>
              <w:rPr>
                <w:noProof/>
              </w:rPr>
              <w:t xml:space="preserve"> CR</w:t>
            </w:r>
            <w:r w:rsidR="00326440">
              <w:rPr>
                <w:noProof/>
              </w:rPr>
              <w:t>#1547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72E328" w14:textId="77777777" w:rsidR="00FF0C29" w:rsidRPr="003964A6" w:rsidRDefault="00FF0C29" w:rsidP="00FF0C29">
      <w:pPr>
        <w:pStyle w:val="Heading3"/>
      </w:pPr>
      <w:bookmarkStart w:id="2" w:name="_Toc193778097"/>
      <w:bookmarkStart w:id="3" w:name="_Toc170194426"/>
      <w:bookmarkEnd w:id="1"/>
      <w:r w:rsidRPr="003964A6">
        <w:t>5.37.4</w:t>
      </w:r>
      <w:r w:rsidRPr="003964A6">
        <w:tab/>
        <w:t>Network Exposure of 5GS information</w:t>
      </w:r>
      <w:bookmarkEnd w:id="2"/>
    </w:p>
    <w:p w14:paraId="73812508" w14:textId="77777777" w:rsidR="00FF0C29" w:rsidRPr="003964A6" w:rsidRDefault="00FF0C29" w:rsidP="00FF0C29">
      <w:r w:rsidRPr="003964A6">
        <w:t>5GS and XR/media services cooperate to provide a better user experience using External Network Exposure.</w:t>
      </w:r>
    </w:p>
    <w:p w14:paraId="3C76AA41" w14:textId="77777777" w:rsidR="00FF0C29" w:rsidRPr="003964A6" w:rsidRDefault="00FF0C29" w:rsidP="00FF0C29">
      <w:r w:rsidRPr="003964A6">
        <w:t>Based on the AF request, the 5GS can expose the following information based on the QoS Monitoring as defined in clause 5.33.3 and/or clause 5.45:</w:t>
      </w:r>
    </w:p>
    <w:p w14:paraId="2F6E4D51" w14:textId="77777777" w:rsidR="00FF0C29" w:rsidRPr="003964A6" w:rsidRDefault="00FF0C29" w:rsidP="00FF0C29">
      <w:pPr>
        <w:pStyle w:val="B1"/>
      </w:pPr>
      <w:r w:rsidRPr="003964A6">
        <w:t>-</w:t>
      </w:r>
      <w:r w:rsidRPr="003964A6">
        <w:tab/>
        <w:t>The UL and/or DL congestion information monitoring (see clause 5.45.3).</w:t>
      </w:r>
    </w:p>
    <w:p w14:paraId="3598DDC4" w14:textId="77777777" w:rsidR="00FF0C29" w:rsidRPr="003964A6" w:rsidRDefault="00FF0C29" w:rsidP="00FF0C29">
      <w:pPr>
        <w:pStyle w:val="B1"/>
      </w:pPr>
      <w:r w:rsidRPr="003964A6">
        <w:tab/>
        <w:t>Based on the PCC rule from PCF, the SMF requests the NG-RAN to report congestion information (</w:t>
      </w:r>
      <w:proofErr w:type="gramStart"/>
      <w:r w:rsidRPr="003964A6">
        <w:t>i.e.</w:t>
      </w:r>
      <w:proofErr w:type="gramEnd"/>
      <w:r w:rsidRPr="003964A6">
        <w:t xml:space="preserv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3964A6">
        <w:t>Nupf_EventExposure</w:t>
      </w:r>
      <w:proofErr w:type="spellEnd"/>
      <w:r w:rsidRPr="003964A6">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44806AAA" w14:textId="77777777" w:rsidR="00FF0C29" w:rsidRPr="003964A6" w:rsidRDefault="00FF0C29" w:rsidP="00FF0C29">
      <w:pPr>
        <w:pStyle w:val="B1"/>
      </w:pPr>
      <w:r w:rsidRPr="003964A6">
        <w:t>-</w:t>
      </w:r>
      <w:r w:rsidRPr="003964A6">
        <w:tab/>
        <w:t>The UL and/or DL Data rate information (see clause 5.45.4).</w:t>
      </w:r>
    </w:p>
    <w:p w14:paraId="0D88DA05" w14:textId="77777777" w:rsidR="00FF0C29" w:rsidRPr="003964A6" w:rsidRDefault="00FF0C29" w:rsidP="00FF0C29">
      <w:pPr>
        <w:pStyle w:val="B1"/>
      </w:pPr>
      <w:r w:rsidRPr="003964A6">
        <w:tab/>
        <w:t xml:space="preserve">Based on the PCC rule from PCF, the SMF requests the PSA UPF to measure and report the information. They may be exposed to the AF directly by PSA UPF via </w:t>
      </w:r>
      <w:proofErr w:type="spellStart"/>
      <w:r w:rsidRPr="003964A6">
        <w:t>Nupf_EventExposure</w:t>
      </w:r>
      <w:proofErr w:type="spellEnd"/>
      <w:r w:rsidRPr="003964A6">
        <w:t xml:space="preserve"> service or via SMF/PCF/NEF as described in clause 5.8.2.18.</w:t>
      </w:r>
    </w:p>
    <w:p w14:paraId="5620B89F" w14:textId="77777777" w:rsidR="00FF0C29" w:rsidRPr="003964A6" w:rsidRDefault="00FF0C29" w:rsidP="00FF0C29">
      <w:pPr>
        <w:pStyle w:val="B1"/>
      </w:pPr>
      <w:r w:rsidRPr="003964A6">
        <w:t>-</w:t>
      </w:r>
      <w:r w:rsidRPr="003964A6">
        <w:tab/>
        <w:t xml:space="preserve">The </w:t>
      </w:r>
      <w:proofErr w:type="gramStart"/>
      <w:r w:rsidRPr="003964A6">
        <w:t>round trip</w:t>
      </w:r>
      <w:proofErr w:type="gramEnd"/>
      <w:r w:rsidRPr="003964A6">
        <w:t xml:space="preserve"> delay for two service data flows considering the UL direction of a service data flow and the DL direction of another service data flow in the same PDU Session.</w:t>
      </w:r>
    </w:p>
    <w:p w14:paraId="40579E8D" w14:textId="77777777" w:rsidR="00FF0C29" w:rsidRPr="003964A6" w:rsidRDefault="00FF0C29" w:rsidP="00FF0C29">
      <w:pPr>
        <w:pStyle w:val="B1"/>
      </w:pPr>
      <w:r w:rsidRPr="003964A6">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7C6A6B8C" w14:textId="77777777" w:rsidR="00FF0C29" w:rsidRPr="003964A6" w:rsidRDefault="00FF0C29" w:rsidP="00FF0C29">
      <w:pPr>
        <w:pStyle w:val="B1"/>
      </w:pPr>
      <w:r w:rsidRPr="003964A6">
        <w:t>-</w:t>
      </w:r>
      <w:r w:rsidRPr="003964A6">
        <w:tab/>
        <w:t xml:space="preserve">The </w:t>
      </w:r>
      <w:proofErr w:type="gramStart"/>
      <w:r w:rsidRPr="003964A6">
        <w:t>round trip</w:t>
      </w:r>
      <w:proofErr w:type="gramEnd"/>
      <w:r w:rsidRPr="003964A6">
        <w:t xml:space="preserve"> delay for one service data flow.</w:t>
      </w:r>
    </w:p>
    <w:p w14:paraId="19ACE262" w14:textId="77777777" w:rsidR="00FF0C29" w:rsidRPr="003964A6" w:rsidRDefault="00FF0C29" w:rsidP="00FF0C29">
      <w:pPr>
        <w:pStyle w:val="B1"/>
      </w:pPr>
      <w:r w:rsidRPr="003964A6">
        <w:tab/>
        <w:t>If the service data flow is mapped to two QoS Flows (</w:t>
      </w:r>
      <w:proofErr w:type="gramStart"/>
      <w:r w:rsidRPr="003964A6">
        <w:t>i.e.</w:t>
      </w:r>
      <w:proofErr w:type="gramEnd"/>
      <w:r w:rsidRPr="003964A6">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8757B48" w14:textId="77777777" w:rsidR="00FF0C29" w:rsidRPr="003964A6" w:rsidRDefault="00FF0C29" w:rsidP="00FF0C29">
      <w:pPr>
        <w:pStyle w:val="NO"/>
      </w:pPr>
      <w:r w:rsidRPr="003964A6">
        <w:t>NOTE:</w:t>
      </w:r>
      <w:r w:rsidRPr="003964A6">
        <w:tab/>
        <w:t xml:space="preserve">How PCF calculates the requested </w:t>
      </w:r>
      <w:proofErr w:type="gramStart"/>
      <w:r w:rsidRPr="003964A6">
        <w:t>round trip</w:t>
      </w:r>
      <w:proofErr w:type="gramEnd"/>
      <w:r w:rsidRPr="003964A6">
        <w:t xml:space="preserve"> delay for multiple QoS Flows from delays of individual QoS Flows is not specified in this specification.</w:t>
      </w:r>
    </w:p>
    <w:p w14:paraId="6E073D0A" w14:textId="77777777" w:rsidR="00FF0C29" w:rsidRPr="003964A6" w:rsidRDefault="00FF0C29" w:rsidP="00FF0C29">
      <w:pPr>
        <w:pStyle w:val="B1"/>
      </w:pPr>
      <w:r w:rsidRPr="003964A6">
        <w:t>-</w:t>
      </w:r>
      <w:r w:rsidRPr="003964A6">
        <w:tab/>
        <w:t>The UL and/or DL available bitrate for a GBR QoS Flow (see clause 5.45.6).</w:t>
      </w:r>
    </w:p>
    <w:p w14:paraId="26BD9834" w14:textId="77777777" w:rsidR="00FF0C29" w:rsidRPr="003964A6" w:rsidRDefault="00FF0C29" w:rsidP="00FF0C29">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5284C833" w14:textId="77777777" w:rsidR="00FF0C29" w:rsidRPr="003964A6" w:rsidRDefault="00FF0C29" w:rsidP="00FF0C29">
      <w:pPr>
        <w:pStyle w:val="B1"/>
      </w:pPr>
      <w:r w:rsidRPr="003964A6">
        <w:tab/>
        <w:t>The SMF further requests the PSA UPF to expose the available bitrate to the AF directly or via local NEF, as described in clause 5.8.2.18.</w:t>
      </w:r>
    </w:p>
    <w:p w14:paraId="4B01270A" w14:textId="77777777" w:rsidR="00FF0C29" w:rsidRPr="003964A6" w:rsidRDefault="00FF0C29" w:rsidP="00FF0C29">
      <w:r w:rsidRPr="003964A6">
        <w:t>The AF may provide the Alternative QoS parameter set requirements and Averaging Window to the NEF/PCF for the GBR QoS Flow as specified in clause 4.15.6.6 of TS 23.502 [3].</w:t>
      </w:r>
    </w:p>
    <w:p w14:paraId="064394A9" w14:textId="075A84E6" w:rsidR="00FF0C29" w:rsidRPr="003964A6" w:rsidRDefault="00FF0C29" w:rsidP="00FF0C29">
      <w:bookmarkStart w:id="4" w:name="_CR5_37_5"/>
      <w:bookmarkEnd w:id="4"/>
      <w:r w:rsidRPr="003964A6">
        <w:lastRenderedPageBreak/>
        <w:t xml:space="preserve">Upon AF request, 5GS may expose the UL and DL data rate limitation information for a </w:t>
      </w:r>
      <w:del w:id="5" w:author="Huawei" w:date="2025-03-28T13:03:00Z">
        <w:r w:rsidRPr="003964A6" w:rsidDel="00FF0C29">
          <w:delText>n</w:delText>
        </w:r>
      </w:del>
      <w:proofErr w:type="gramStart"/>
      <w:ins w:id="6" w:author="Huawei" w:date="2025-03-28T13:03:00Z">
        <w:r>
          <w:t>N</w:t>
        </w:r>
      </w:ins>
      <w:r w:rsidRPr="003964A6">
        <w:t>on-GBR</w:t>
      </w:r>
      <w:proofErr w:type="gramEnd"/>
      <w:r w:rsidRPr="003964A6">
        <w:t xml:space="preserve"> service data flow or a PDU Session to the AF. The data rate limitation information is defined as the maximum data rate that can be achieved for the service data flow or the PDU Session</w:t>
      </w:r>
      <w:ins w:id="7" w:author="Huawei" w:date="2025-03-28T13:03:00Z">
        <w:r>
          <w:rPr>
            <w:lang w:val="en-US"/>
          </w:rPr>
          <w:t>, respectively,</w:t>
        </w:r>
        <w:r w:rsidRPr="008325F0">
          <w:t xml:space="preserve"> </w:t>
        </w:r>
        <w:r w:rsidRPr="008325F0">
          <w:rPr>
            <w:lang w:val="en-US"/>
          </w:rPr>
          <w:t>and is determined by the PCF as described in clause 6.1.3.27.1 of TS 23.503 [45]</w:t>
        </w:r>
      </w:ins>
      <w:r w:rsidRPr="003964A6">
        <w:t>:</w:t>
      </w:r>
    </w:p>
    <w:p w14:paraId="69AACBB1" w14:textId="55FE0112" w:rsidR="00FF0C29" w:rsidRPr="003964A6" w:rsidRDefault="00FF0C29" w:rsidP="00FF0C29">
      <w:pPr>
        <w:pStyle w:val="B1"/>
      </w:pPr>
      <w:r w:rsidRPr="003964A6">
        <w:t>-</w:t>
      </w:r>
      <w:r w:rsidRPr="003964A6">
        <w:tab/>
        <w:t xml:space="preserve">For a new or </w:t>
      </w:r>
      <w:ins w:id="8" w:author="Huawei" w:date="2025-03-28T13:03:00Z">
        <w:r>
          <w:t xml:space="preserve">an </w:t>
        </w:r>
      </w:ins>
      <w:r w:rsidRPr="003964A6">
        <w:t xml:space="preserve">ongoing </w:t>
      </w:r>
      <w:ins w:id="9" w:author="Huawei2" w:date="2025-04-10T16:42:00Z">
        <w:r w:rsidR="00065F0D">
          <w:t xml:space="preserve">service </w:t>
        </w:r>
      </w:ins>
      <w:r w:rsidRPr="003964A6">
        <w:t xml:space="preserve">data </w:t>
      </w:r>
      <w:ins w:id="10" w:author="Huawei2" w:date="2025-04-10T16:42:00Z">
        <w:r w:rsidR="00065F0D">
          <w:t xml:space="preserve">flow </w:t>
        </w:r>
      </w:ins>
      <w:del w:id="11" w:author="Huawei" w:date="2025-03-28T13:04:00Z">
        <w:r w:rsidRPr="003964A6" w:rsidDel="00FF0C29">
          <w:delText xml:space="preserve">sessions </w:delText>
        </w:r>
      </w:del>
      <w:r w:rsidRPr="003964A6">
        <w:t xml:space="preserve">bound to an AF session, the </w:t>
      </w:r>
      <w:del w:id="12" w:author="Huawei" w:date="2025-03-28T13:04:00Z">
        <w:r w:rsidRPr="003964A6" w:rsidDel="00FF0C29">
          <w:delText xml:space="preserve">PCF provides the uplink and downlink maximum bit rate authorized for the service data flow as </w:delText>
        </w:r>
      </w:del>
      <w:r w:rsidRPr="003964A6">
        <w:t>data rate limitation information</w:t>
      </w:r>
      <w:del w:id="13" w:author="Huawei" w:date="2025-03-28T13:04:00Z">
        <w:r w:rsidRPr="003964A6" w:rsidDel="00FF0C29">
          <w:delText>,</w:delText>
        </w:r>
      </w:del>
      <w:ins w:id="14" w:author="Huawei" w:date="2025-03-28T13:04:00Z">
        <w:r>
          <w:t xml:space="preserve"> </w:t>
        </w:r>
      </w:ins>
      <w:ins w:id="15" w:author="Huawei2" w:date="2025-04-10T16:04:00Z">
        <w:r w:rsidR="00326440" w:rsidRPr="00326440">
          <w:t xml:space="preserve">for a Non-GBR service data flow </w:t>
        </w:r>
      </w:ins>
      <w:ins w:id="16" w:author="Huawei" w:date="2025-03-28T13:04:00Z">
        <w:r>
          <w:t>is exposed</w:t>
        </w:r>
      </w:ins>
      <w:r w:rsidRPr="003964A6">
        <w:t xml:space="preserve"> by means of the AF session with QoS procedure </w:t>
      </w:r>
      <w:ins w:id="17" w:author="Huawei" w:date="2025-03-28T13:04:00Z">
        <w:r>
          <w:t>(</w:t>
        </w:r>
      </w:ins>
      <w:r w:rsidRPr="003964A6">
        <w:t>as defined in clause 4.15.6.6 and clause 4.15.6.6a of TS 23.502 [3]</w:t>
      </w:r>
      <w:ins w:id="18" w:author="Huawei" w:date="2025-03-28T13:04:00Z">
        <w:r>
          <w:t>)</w:t>
        </w:r>
      </w:ins>
      <w:r w:rsidRPr="003964A6">
        <w:t>.</w:t>
      </w:r>
      <w:ins w:id="19" w:author="Huawei" w:date="2025-03-28T13:04:00Z">
        <w:r w:rsidRPr="00FF0C29">
          <w:t xml:space="preserve"> </w:t>
        </w:r>
      </w:ins>
    </w:p>
    <w:p w14:paraId="58553D43" w14:textId="7CC52FA4" w:rsidR="00FF0C29" w:rsidRPr="003964A6" w:rsidRDefault="00FF0C29" w:rsidP="00FF0C29">
      <w:pPr>
        <w:pStyle w:val="B1"/>
      </w:pPr>
      <w:r w:rsidRPr="003964A6">
        <w:t>-</w:t>
      </w:r>
      <w:r w:rsidRPr="003964A6">
        <w:tab/>
        <w:t xml:space="preserve">When the AF subscribes to event notifications for a PDU Session, the </w:t>
      </w:r>
      <w:del w:id="20" w:author="Huawei" w:date="2025-03-28T13:05:00Z">
        <w:r w:rsidRPr="003964A6" w:rsidDel="00FF0C29">
          <w:delText xml:space="preserve">PCF provides the authorized Session-AMBR as </w:delText>
        </w:r>
      </w:del>
      <w:r w:rsidRPr="003964A6">
        <w:t xml:space="preserve">data rate limitation information </w:t>
      </w:r>
      <w:ins w:id="21" w:author="Huawei2" w:date="2025-04-10T16:03:00Z">
        <w:r w:rsidR="00326440" w:rsidRPr="00326440">
          <w:t xml:space="preserve">for a PDU Session </w:t>
        </w:r>
      </w:ins>
      <w:ins w:id="22" w:author="Huawei" w:date="2025-03-28T13:05:00Z">
        <w:r>
          <w:t xml:space="preserve">is exposed </w:t>
        </w:r>
      </w:ins>
      <w:r w:rsidRPr="003964A6">
        <w:t xml:space="preserve">by means of the </w:t>
      </w:r>
      <w:proofErr w:type="spellStart"/>
      <w:r w:rsidRPr="003964A6">
        <w:t>Npcf_EventExposure</w:t>
      </w:r>
      <w:proofErr w:type="spellEnd"/>
      <w:r w:rsidRPr="003964A6">
        <w:t xml:space="preserve"> service </w:t>
      </w:r>
      <w:ins w:id="23" w:author="Huawei" w:date="2025-03-28T13:05:00Z">
        <w:r>
          <w:t>(</w:t>
        </w:r>
      </w:ins>
      <w:r w:rsidRPr="003964A6">
        <w:t>as defined in clause 5.2.5.7 of TS 23.502 [3]</w:t>
      </w:r>
      <w:ins w:id="24" w:author="Huawei" w:date="2025-03-28T13:05:00Z">
        <w:r>
          <w:t>)</w:t>
        </w:r>
      </w:ins>
      <w:r w:rsidRPr="003964A6">
        <w:t>.</w:t>
      </w:r>
      <w:ins w:id="25" w:author="Huawei" w:date="2025-03-28T13:05:00Z">
        <w:r w:rsidRPr="00FF0C29">
          <w:t xml:space="preserve"> </w:t>
        </w:r>
      </w:ins>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A90E" w14:textId="77777777" w:rsidR="000D54BF" w:rsidRDefault="000D54BF">
      <w:r>
        <w:separator/>
      </w:r>
    </w:p>
  </w:endnote>
  <w:endnote w:type="continuationSeparator" w:id="0">
    <w:p w14:paraId="40F2BDF6" w14:textId="77777777" w:rsidR="000D54BF" w:rsidRDefault="000D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BC8D" w14:textId="77777777" w:rsidR="000D54BF" w:rsidRDefault="000D54BF">
      <w:r>
        <w:separator/>
      </w:r>
    </w:p>
  </w:footnote>
  <w:footnote w:type="continuationSeparator" w:id="0">
    <w:p w14:paraId="62BC75C2" w14:textId="77777777" w:rsidR="000D54BF" w:rsidRDefault="000D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65F0D"/>
    <w:rsid w:val="00070E09"/>
    <w:rsid w:val="00084321"/>
    <w:rsid w:val="000A6394"/>
    <w:rsid w:val="000B7FC2"/>
    <w:rsid w:val="000B7FED"/>
    <w:rsid w:val="000C038A"/>
    <w:rsid w:val="000C6598"/>
    <w:rsid w:val="000D44B3"/>
    <w:rsid w:val="000D54BF"/>
    <w:rsid w:val="000D7BDC"/>
    <w:rsid w:val="00145D43"/>
    <w:rsid w:val="00146BFF"/>
    <w:rsid w:val="00180045"/>
    <w:rsid w:val="00192C46"/>
    <w:rsid w:val="001A08B3"/>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26440"/>
    <w:rsid w:val="00336296"/>
    <w:rsid w:val="00345F57"/>
    <w:rsid w:val="00355108"/>
    <w:rsid w:val="00357A44"/>
    <w:rsid w:val="003609EF"/>
    <w:rsid w:val="0036231A"/>
    <w:rsid w:val="00374DD4"/>
    <w:rsid w:val="00387F1B"/>
    <w:rsid w:val="003E1A36"/>
    <w:rsid w:val="003F7B9A"/>
    <w:rsid w:val="004006F2"/>
    <w:rsid w:val="00410371"/>
    <w:rsid w:val="004242F1"/>
    <w:rsid w:val="004B75B7"/>
    <w:rsid w:val="004D525E"/>
    <w:rsid w:val="004D5992"/>
    <w:rsid w:val="005141D9"/>
    <w:rsid w:val="0051580D"/>
    <w:rsid w:val="00545D7A"/>
    <w:rsid w:val="00547111"/>
    <w:rsid w:val="0059064B"/>
    <w:rsid w:val="00592D74"/>
    <w:rsid w:val="005D0A2D"/>
    <w:rsid w:val="005E2C44"/>
    <w:rsid w:val="00621188"/>
    <w:rsid w:val="006257ED"/>
    <w:rsid w:val="00651826"/>
    <w:rsid w:val="00653DE4"/>
    <w:rsid w:val="00665C47"/>
    <w:rsid w:val="00695808"/>
    <w:rsid w:val="006B46FB"/>
    <w:rsid w:val="006E21FB"/>
    <w:rsid w:val="007731DF"/>
    <w:rsid w:val="00792342"/>
    <w:rsid w:val="007977A8"/>
    <w:rsid w:val="007B512A"/>
    <w:rsid w:val="007C2097"/>
    <w:rsid w:val="007D6A07"/>
    <w:rsid w:val="007F7259"/>
    <w:rsid w:val="008040A8"/>
    <w:rsid w:val="008250EB"/>
    <w:rsid w:val="008279FA"/>
    <w:rsid w:val="008325F0"/>
    <w:rsid w:val="008626E7"/>
    <w:rsid w:val="00870EE7"/>
    <w:rsid w:val="008863B9"/>
    <w:rsid w:val="008A45A6"/>
    <w:rsid w:val="008D3CCC"/>
    <w:rsid w:val="008D4F6E"/>
    <w:rsid w:val="008E5479"/>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76E7C"/>
    <w:rsid w:val="00AA2CBC"/>
    <w:rsid w:val="00AB5B69"/>
    <w:rsid w:val="00AC5820"/>
    <w:rsid w:val="00AD1CD8"/>
    <w:rsid w:val="00B172D4"/>
    <w:rsid w:val="00B258BB"/>
    <w:rsid w:val="00B67B97"/>
    <w:rsid w:val="00B968C8"/>
    <w:rsid w:val="00BA3EC5"/>
    <w:rsid w:val="00BA51D9"/>
    <w:rsid w:val="00BB59A2"/>
    <w:rsid w:val="00BB5DFC"/>
    <w:rsid w:val="00BC142F"/>
    <w:rsid w:val="00BD279D"/>
    <w:rsid w:val="00BD6BB8"/>
    <w:rsid w:val="00C37917"/>
    <w:rsid w:val="00C415A3"/>
    <w:rsid w:val="00C66BA2"/>
    <w:rsid w:val="00C802BE"/>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C7B08"/>
    <w:rsid w:val="00DE34CF"/>
    <w:rsid w:val="00DF5F5D"/>
    <w:rsid w:val="00E13F3D"/>
    <w:rsid w:val="00E34898"/>
    <w:rsid w:val="00E46145"/>
    <w:rsid w:val="00E71123"/>
    <w:rsid w:val="00EB09B7"/>
    <w:rsid w:val="00EC7C1B"/>
    <w:rsid w:val="00EE6488"/>
    <w:rsid w:val="00EE7D7C"/>
    <w:rsid w:val="00EF1825"/>
    <w:rsid w:val="00F25D98"/>
    <w:rsid w:val="00F300FB"/>
    <w:rsid w:val="00F5729B"/>
    <w:rsid w:val="00F9228C"/>
    <w:rsid w:val="00F94C6A"/>
    <w:rsid w:val="00F97FAE"/>
    <w:rsid w:val="00FB6386"/>
    <w:rsid w:val="00FD3BA3"/>
    <w:rsid w:val="00FF0C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325F0"/>
    <w:rPr>
      <w:rFonts w:ascii="Times New Roman" w:hAnsi="Times New Roman"/>
      <w:lang w:val="en-GB" w:eastAsia="en-US"/>
    </w:rPr>
  </w:style>
  <w:style w:type="character" w:customStyle="1" w:styleId="NOZchn">
    <w:name w:val="NO Zchn"/>
    <w:link w:val="NO"/>
    <w:qFormat/>
    <w:rsid w:val="00832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1005</Words>
  <Characters>5732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2025-04-11T11:52:00Z</dcterms:created>
  <dcterms:modified xsi:type="dcterms:W3CDTF">2025-04-11T11:52:00Z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